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B4" w:rsidRDefault="007B0233">
      <w:pPr>
        <w:jc w:val="center"/>
        <w:rPr>
          <w:rStyle w:val="NessunoA"/>
          <w:b/>
          <w:bCs/>
          <w:sz w:val="16"/>
          <w:szCs w:val="16"/>
        </w:rPr>
      </w:pPr>
      <w:r>
        <w:rPr>
          <w:rStyle w:val="NessunoA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2788485</wp:posOffset>
            </wp:positionH>
            <wp:positionV relativeFrom="page">
              <wp:posOffset>456565</wp:posOffset>
            </wp:positionV>
            <wp:extent cx="1966829" cy="682237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9" cy="6822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3BB4" w:rsidRDefault="007B0233">
      <w:pPr>
        <w:jc w:val="center"/>
        <w:rPr>
          <w:rStyle w:val="NessunoA"/>
          <w:rFonts w:ascii="Avenir Next" w:eastAsia="Avenir Next" w:hAnsi="Avenir Next" w:cs="Avenir Next"/>
          <w:sz w:val="28"/>
          <w:szCs w:val="28"/>
        </w:rPr>
      </w:pPr>
      <w:r>
        <w:rPr>
          <w:rStyle w:val="NessunoA"/>
          <w:rFonts w:ascii="Avenir Next Demi Bold" w:hAnsi="Avenir Next Demi Bold"/>
          <w:sz w:val="28"/>
          <w:szCs w:val="28"/>
        </w:rPr>
        <w:t>1/2/3/4 marzo 2018</w:t>
      </w:r>
      <w:r>
        <w:rPr>
          <w:rStyle w:val="NessunoA"/>
          <w:rFonts w:ascii="Avenir Next" w:hAnsi="Avenir Next"/>
          <w:sz w:val="28"/>
          <w:szCs w:val="28"/>
        </w:rPr>
        <w:t xml:space="preserve"> - Piacenza Expo - </w:t>
      </w:r>
      <w:hyperlink r:id="rId7" w:history="1">
        <w:r>
          <w:rPr>
            <w:rStyle w:val="Hyperlink0"/>
          </w:rPr>
          <w:t>www.seminat.it</w:t>
        </w:r>
      </w:hyperlink>
    </w:p>
    <w:p w:rsidR="00583BB4" w:rsidRDefault="00583BB4">
      <w:pPr>
        <w:jc w:val="center"/>
        <w:rPr>
          <w:rFonts w:ascii="Avenir Next" w:eastAsia="Avenir Next" w:hAnsi="Avenir Next" w:cs="Avenir Next"/>
          <w:sz w:val="20"/>
          <w:szCs w:val="20"/>
        </w:rPr>
      </w:pPr>
    </w:p>
    <w:p w:rsidR="00583BB4" w:rsidRDefault="007B0233">
      <w:pPr>
        <w:jc w:val="center"/>
        <w:rPr>
          <w:rStyle w:val="NessunoA"/>
          <w:rFonts w:ascii="Avenir Next Demi Bold" w:eastAsia="Avenir Next Demi Bold" w:hAnsi="Avenir Next Demi Bold" w:cs="Avenir Next Demi Bold"/>
          <w:i/>
          <w:iCs/>
          <w:sz w:val="26"/>
          <w:szCs w:val="26"/>
        </w:rPr>
      </w:pP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SEMINAT 2018: a Piacenza Expo il meglio e le ultime novit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 xml:space="preserve">à 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 xml:space="preserve">del florovivaismo </w:t>
      </w:r>
    </w:p>
    <w:p w:rsidR="00583BB4" w:rsidRDefault="007B0233">
      <w:pPr>
        <w:jc w:val="center"/>
        <w:rPr>
          <w:rStyle w:val="NessunoA"/>
          <w:rFonts w:ascii="Avenir Next Demi Bold" w:eastAsia="Avenir Next Demi Bold" w:hAnsi="Avenir Next Demi Bold" w:cs="Avenir Next Demi Bold"/>
          <w:i/>
          <w:iCs/>
          <w:sz w:val="26"/>
          <w:szCs w:val="26"/>
        </w:rPr>
      </w:pP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 xml:space="preserve">nella nuova era del 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“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Bonus verde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”</w:t>
      </w:r>
    </w:p>
    <w:p w:rsidR="00583BB4" w:rsidRDefault="00583BB4">
      <w:pPr>
        <w:jc w:val="both"/>
        <w:rPr>
          <w:sz w:val="32"/>
          <w:szCs w:val="32"/>
        </w:rPr>
      </w:pPr>
    </w:p>
    <w:p w:rsidR="00583BB4" w:rsidRDefault="007B0233">
      <w:pPr>
        <w:jc w:val="center"/>
        <w:rPr>
          <w:rStyle w:val="NessunoA"/>
          <w:rFonts w:ascii="Avenir Next Demi Bold" w:eastAsia="Avenir Next Demi Bold" w:hAnsi="Avenir Next Demi Bold" w:cs="Avenir Next Demi Bold"/>
          <w:u w:val="single"/>
        </w:rPr>
      </w:pPr>
      <w:r>
        <w:rPr>
          <w:rStyle w:val="NessunoA"/>
          <w:rFonts w:ascii="Avenir Next Demi Bold" w:hAnsi="Avenir Next Demi Bold"/>
          <w:u w:val="single"/>
        </w:rPr>
        <w:t>COMUNICATO STAMPA</w:t>
      </w:r>
    </w:p>
    <w:p w:rsidR="00583BB4" w:rsidRDefault="00583BB4">
      <w:pPr>
        <w:jc w:val="center"/>
        <w:rPr>
          <w:rFonts w:ascii="Avenir Next" w:eastAsia="Avenir Next" w:hAnsi="Avenir Next" w:cs="Avenir Next"/>
          <w:sz w:val="16"/>
          <w:szCs w:val="16"/>
        </w:rPr>
      </w:pPr>
    </w:p>
    <w:p w:rsidR="00583BB4" w:rsidRDefault="00583BB4">
      <w:pPr>
        <w:jc w:val="center"/>
        <w:rPr>
          <w:rFonts w:ascii="Avenir Next" w:eastAsia="Avenir Next" w:hAnsi="Avenir Next" w:cs="Avenir Next"/>
          <w:sz w:val="8"/>
          <w:szCs w:val="8"/>
        </w:rPr>
      </w:pPr>
    </w:p>
    <w:p w:rsidR="00583BB4" w:rsidRDefault="007B0233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Piacenza, 23 febbraio 2018 </w:t>
      </w:r>
      <w:r>
        <w:rPr>
          <w:rStyle w:val="NessunoA"/>
          <w:rFonts w:ascii="Avenir Next" w:hAnsi="Avenir Next"/>
          <w:sz w:val="23"/>
          <w:szCs w:val="23"/>
        </w:rPr>
        <w:t xml:space="preserve">- Nei padiglioni di </w:t>
      </w:r>
      <w:r>
        <w:rPr>
          <w:rStyle w:val="NessunoA"/>
          <w:rFonts w:ascii="Avenir Next Demi Bold" w:hAnsi="Avenir Next Demi Bold"/>
          <w:sz w:val="23"/>
          <w:szCs w:val="23"/>
        </w:rPr>
        <w:t>Piacenza Expo</w:t>
      </w:r>
      <w:r>
        <w:rPr>
          <w:rStyle w:val="NessunoA"/>
          <w:rFonts w:ascii="Avenir Next" w:hAnsi="Avenir Next"/>
          <w:sz w:val="23"/>
          <w:szCs w:val="23"/>
        </w:rPr>
        <w:t xml:space="preserve"> sta per alzarsi il sipario sulla 37</w:t>
      </w:r>
      <w:r>
        <w:rPr>
          <w:rStyle w:val="NessunoA"/>
          <w:rFonts w:ascii="Avenir Next" w:hAnsi="Avenir Next"/>
          <w:sz w:val="23"/>
          <w:szCs w:val="23"/>
          <w:vertAlign w:val="superscript"/>
        </w:rPr>
        <w:t>a</w:t>
      </w:r>
      <w:r>
        <w:rPr>
          <w:rStyle w:val="NessunoA"/>
          <w:rFonts w:ascii="Avenir Next" w:hAnsi="Avenir Next"/>
          <w:sz w:val="23"/>
          <w:szCs w:val="23"/>
        </w:rPr>
        <w:t xml:space="preserve"> edizione di </w:t>
      </w: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Seminat</w:t>
      </w:r>
      <w:proofErr w:type="spellEnd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,</w:t>
      </w:r>
      <w:r>
        <w:rPr>
          <w:rStyle w:val="NessunoA"/>
          <w:rFonts w:ascii="Avenir Next" w:hAnsi="Avenir Next"/>
          <w:sz w:val="23"/>
          <w:szCs w:val="23"/>
        </w:rPr>
        <w:t xml:space="preserve"> storica mostra-mercato dedicata alle piante ornamentali e da frutto, alle sementi, alle attrezzature da giardino e a tutte le principali e pi</w:t>
      </w:r>
      <w:r>
        <w:rPr>
          <w:rStyle w:val="NessunoA"/>
          <w:rFonts w:ascii="Avenir Next" w:hAnsi="Avenir Next"/>
          <w:sz w:val="23"/>
          <w:szCs w:val="23"/>
        </w:rPr>
        <w:t xml:space="preserve">ù </w:t>
      </w:r>
      <w:r>
        <w:rPr>
          <w:rStyle w:val="NessunoA"/>
          <w:rFonts w:ascii="Avenir Next" w:hAnsi="Avenir Next"/>
          <w:sz w:val="23"/>
          <w:szCs w:val="23"/>
        </w:rPr>
        <w:t>importanti novit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del</w:t>
      </w:r>
      <w:r>
        <w:rPr>
          <w:rStyle w:val="NessunoA"/>
          <w:rFonts w:ascii="Avenir Next" w:hAnsi="Avenir Next"/>
          <w:sz w:val="23"/>
          <w:szCs w:val="23"/>
        </w:rPr>
        <w:t xml:space="preserve"> florovivaismo.  Dall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 Demi Bold" w:hAnsi="Avenir Next Demi Bold"/>
          <w:sz w:val="23"/>
          <w:szCs w:val="23"/>
        </w:rPr>
        <w:t>1 al 4 marzo 2018</w:t>
      </w:r>
      <w:r>
        <w:rPr>
          <w:rStyle w:val="NessunoA"/>
          <w:rFonts w:ascii="Avenir Next" w:hAnsi="Avenir Next"/>
          <w:sz w:val="23"/>
          <w:szCs w:val="23"/>
        </w:rPr>
        <w:t xml:space="preserve">, infatti - in contemporanea con </w:t>
      </w:r>
      <w:proofErr w:type="spellStart"/>
      <w:r>
        <w:rPr>
          <w:rStyle w:val="NessunoA"/>
          <w:rFonts w:ascii="Avenir Next" w:hAnsi="Avenir Next"/>
          <w:i/>
          <w:iCs/>
          <w:sz w:val="23"/>
          <w:szCs w:val="23"/>
        </w:rPr>
        <w:t>Apime</w:t>
      </w:r>
      <w:r w:rsidR="00C50722">
        <w:rPr>
          <w:rStyle w:val="NessunoA"/>
          <w:rFonts w:ascii="Avenir Next" w:hAnsi="Avenir Next"/>
          <w:i/>
          <w:iCs/>
          <w:sz w:val="23"/>
          <w:szCs w:val="23"/>
        </w:rPr>
        <w:t>l</w:t>
      </w:r>
      <w:r>
        <w:rPr>
          <w:rStyle w:val="NessunoA"/>
          <w:rFonts w:ascii="Avenir Next" w:hAnsi="Avenir Next"/>
          <w:i/>
          <w:iCs/>
          <w:sz w:val="23"/>
          <w:szCs w:val="23"/>
        </w:rPr>
        <w:t>l</w:t>
      </w:r>
      <w:proofErr w:type="spellEnd"/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, </w:t>
      </w:r>
      <w:r>
        <w:rPr>
          <w:rStyle w:val="NessunoA"/>
          <w:rFonts w:ascii="Avenir Next" w:hAnsi="Avenir Next"/>
          <w:sz w:val="23"/>
          <w:szCs w:val="23"/>
        </w:rPr>
        <w:t>mostra internazionale dedicata all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apicoltura</w:t>
      </w:r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, </w:t>
      </w:r>
      <w:r>
        <w:rPr>
          <w:rStyle w:val="NessunoA"/>
          <w:rFonts w:ascii="Avenir Next" w:hAnsi="Avenir Next"/>
          <w:sz w:val="23"/>
          <w:szCs w:val="23"/>
        </w:rPr>
        <w:t xml:space="preserve">e con il salone enogastronomico </w:t>
      </w:r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Buon </w:t>
      </w:r>
      <w:proofErr w:type="gramStart"/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Vivere </w:t>
      </w:r>
      <w:r>
        <w:rPr>
          <w:rStyle w:val="NessunoA"/>
          <w:rFonts w:ascii="Avenir Next" w:hAnsi="Avenir Next"/>
          <w:sz w:val="23"/>
          <w:szCs w:val="23"/>
        </w:rPr>
        <w:t xml:space="preserve"> -</w:t>
      </w:r>
      <w:proofErr w:type="gramEnd"/>
      <w:r>
        <w:rPr>
          <w:rStyle w:val="NessunoA"/>
          <w:rFonts w:ascii="Avenir Next" w:hAnsi="Avenir Next"/>
          <w:sz w:val="23"/>
          <w:szCs w:val="23"/>
        </w:rPr>
        <w:t xml:space="preserve">, </w:t>
      </w: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Seminat</w:t>
      </w:r>
      <w:proofErr w:type="spellEnd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>porter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nei padiglioni espositivi del quartiere fieristico piacentino (a </w:t>
      </w:r>
      <w:r>
        <w:rPr>
          <w:rStyle w:val="NessunoA"/>
          <w:rFonts w:ascii="Avenir Next" w:hAnsi="Avenir Next"/>
          <w:sz w:val="23"/>
          <w:szCs w:val="23"/>
        </w:rPr>
        <w:t>500 m. dal casello di Piacenza Sud dell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Autostrada A1), un vero e proprio centro commerciale naturale aperto non solo ai professionisti e agli operatori del settore, ma anche agli amanti del giardinaggio e agli appassionati di frutticoltura.</w:t>
      </w:r>
    </w:p>
    <w:p w:rsidR="00583BB4" w:rsidRDefault="00583BB4">
      <w:pPr>
        <w:jc w:val="both"/>
        <w:rPr>
          <w:rFonts w:ascii="Avenir Next" w:eastAsia="Avenir Next" w:hAnsi="Avenir Next" w:cs="Avenir Next"/>
          <w:sz w:val="13"/>
          <w:szCs w:val="13"/>
        </w:rPr>
      </w:pPr>
    </w:p>
    <w:p w:rsidR="00583BB4" w:rsidRDefault="007B0233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r>
        <w:rPr>
          <w:rStyle w:val="NessunoA"/>
          <w:rFonts w:ascii="Avenir Next" w:hAnsi="Avenir Next"/>
          <w:sz w:val="23"/>
          <w:szCs w:val="23"/>
        </w:rPr>
        <w:t>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edizione 2018 di </w:t>
      </w: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Seminat</w:t>
      </w:r>
      <w:proofErr w:type="spellEnd"/>
      <w:r>
        <w:rPr>
          <w:rStyle w:val="NessunoA"/>
          <w:rFonts w:ascii="Avenir Next" w:hAnsi="Avenir Next"/>
          <w:sz w:val="23"/>
          <w:szCs w:val="23"/>
        </w:rPr>
        <w:t xml:space="preserve"> si presenta ai visitatori con un ulteriore valore aggiunto, legato agli </w:t>
      </w:r>
      <w:r>
        <w:rPr>
          <w:rStyle w:val="NessunoA"/>
          <w:rFonts w:ascii="Avenir Next Demi Bold" w:hAnsi="Avenir Next Demi Bold"/>
          <w:sz w:val="23"/>
          <w:szCs w:val="23"/>
        </w:rPr>
        <w:t>incentivi fiscali</w:t>
      </w:r>
      <w:r>
        <w:rPr>
          <w:rStyle w:val="NessunoA"/>
          <w:rFonts w:ascii="Avenir Next" w:hAnsi="Avenir Next"/>
          <w:sz w:val="23"/>
          <w:szCs w:val="23"/>
        </w:rPr>
        <w:t xml:space="preserve"> introdotti dalla Legge di Stabilit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attraverso il cosiddetto </w:t>
      </w:r>
      <w:r>
        <w:rPr>
          <w:rStyle w:val="NessunoA"/>
          <w:rFonts w:ascii="Avenir Next" w:hAnsi="Avenir Next"/>
          <w:sz w:val="23"/>
          <w:szCs w:val="23"/>
        </w:rPr>
        <w:t>“</w:t>
      </w:r>
      <w:r>
        <w:rPr>
          <w:rStyle w:val="NessunoA"/>
          <w:rFonts w:ascii="Avenir Next" w:hAnsi="Avenir Next"/>
          <w:sz w:val="23"/>
          <w:szCs w:val="23"/>
        </w:rPr>
        <w:t>Bonus verde</w:t>
      </w:r>
      <w:r>
        <w:rPr>
          <w:rStyle w:val="NessunoA"/>
          <w:rFonts w:ascii="Avenir Next" w:hAnsi="Avenir Next"/>
          <w:sz w:val="23"/>
          <w:szCs w:val="23"/>
        </w:rPr>
        <w:t>”</w:t>
      </w:r>
      <w:r>
        <w:rPr>
          <w:rStyle w:val="NessunoA"/>
          <w:rFonts w:ascii="Avenir Next" w:hAnsi="Avenir Next"/>
          <w:sz w:val="23"/>
          <w:szCs w:val="23"/>
        </w:rPr>
        <w:t>: la normativa prevede, infatti, detrazioni a favore di chi effettu</w:t>
      </w:r>
      <w:r>
        <w:rPr>
          <w:rStyle w:val="NessunoA"/>
          <w:rFonts w:ascii="Avenir Next" w:hAnsi="Avenir Next"/>
          <w:sz w:val="23"/>
          <w:szCs w:val="23"/>
        </w:rPr>
        <w:t>a spese ed investimenti per la sistemazione del verde di aree scoperte di pertinenza delle unit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immobiliari private di qualsiasi genere, come terrazzi, giardini, balconi (anche condominiali), ma anche per la realizzazione di impianti di irrigazione e per </w:t>
      </w:r>
      <w:r>
        <w:rPr>
          <w:rStyle w:val="NessunoA"/>
          <w:rFonts w:ascii="Avenir Next" w:hAnsi="Avenir Next"/>
          <w:sz w:val="23"/>
          <w:szCs w:val="23"/>
        </w:rPr>
        <w:t>lavori di recupero di aree verdi e giardini di interesse storico.</w:t>
      </w:r>
    </w:p>
    <w:p w:rsidR="00583BB4" w:rsidRDefault="00583BB4">
      <w:pPr>
        <w:jc w:val="both"/>
        <w:rPr>
          <w:rFonts w:ascii="Avenir Next" w:eastAsia="Avenir Next" w:hAnsi="Avenir Next" w:cs="Avenir Next"/>
          <w:sz w:val="13"/>
          <w:szCs w:val="13"/>
        </w:rPr>
      </w:pPr>
    </w:p>
    <w:p w:rsidR="00583BB4" w:rsidRDefault="007B0233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r>
        <w:rPr>
          <w:rStyle w:val="NessunoA"/>
          <w:rFonts w:ascii="Avenir Next" w:hAnsi="Avenir Next"/>
          <w:sz w:val="23"/>
          <w:szCs w:val="23"/>
        </w:rPr>
        <w:t>Per agevolare 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afflusso dei visitatori - costantemente ed esponenzialmente in crescita negli ultimi anni - </w:t>
      </w: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Seminat</w:t>
      </w:r>
      <w:proofErr w:type="spellEnd"/>
      <w:r>
        <w:rPr>
          <w:rStyle w:val="NessunoA"/>
          <w:rFonts w:ascii="Avenir Next" w:hAnsi="Avenir Next"/>
          <w:sz w:val="23"/>
          <w:szCs w:val="23"/>
        </w:rPr>
        <w:t xml:space="preserve"> </w:t>
      </w:r>
      <w:r w:rsidR="00C50722">
        <w:rPr>
          <w:rStyle w:val="NessunoA"/>
          <w:rFonts w:ascii="Avenir Next" w:hAnsi="Avenir Next"/>
          <w:sz w:val="23"/>
          <w:szCs w:val="23"/>
        </w:rPr>
        <w:t>anticiperà</w:t>
      </w:r>
      <w:r>
        <w:rPr>
          <w:rStyle w:val="NessunoA"/>
          <w:rFonts w:ascii="Avenir Next" w:hAnsi="Avenir Next"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>quest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anno </w:t>
      </w:r>
      <w:r w:rsidR="00C50722">
        <w:rPr>
          <w:rStyle w:val="NessunoA"/>
          <w:rFonts w:ascii="Avenir Next" w:hAnsi="Avenir Next"/>
          <w:sz w:val="23"/>
          <w:szCs w:val="23"/>
        </w:rPr>
        <w:t>l’apertura al giovedì,</w:t>
      </w:r>
      <w:r>
        <w:rPr>
          <w:rStyle w:val="NessunoA"/>
          <w:rFonts w:ascii="Avenir Next" w:hAnsi="Avenir Next"/>
          <w:sz w:val="23"/>
          <w:szCs w:val="23"/>
        </w:rPr>
        <w:t xml:space="preserve"> un giorno in pi</w:t>
      </w:r>
      <w:r>
        <w:rPr>
          <w:rStyle w:val="NessunoA"/>
          <w:rFonts w:ascii="Avenir Next" w:hAnsi="Avenir Next"/>
          <w:sz w:val="23"/>
          <w:szCs w:val="23"/>
        </w:rPr>
        <w:t xml:space="preserve">ù </w:t>
      </w:r>
      <w:r>
        <w:rPr>
          <w:rStyle w:val="NessunoA"/>
          <w:rFonts w:ascii="Avenir Next" w:hAnsi="Avenir Next"/>
          <w:sz w:val="23"/>
          <w:szCs w:val="23"/>
        </w:rPr>
        <w:t xml:space="preserve">rispetto alle precedenti </w:t>
      </w:r>
      <w:r>
        <w:rPr>
          <w:rStyle w:val="NessunoA"/>
          <w:rFonts w:ascii="Avenir Next" w:hAnsi="Avenir Next"/>
          <w:sz w:val="23"/>
          <w:szCs w:val="23"/>
        </w:rPr>
        <w:t>edizioni</w:t>
      </w:r>
      <w:r w:rsidR="00C50722">
        <w:rPr>
          <w:rStyle w:val="NessunoA"/>
          <w:rFonts w:ascii="Avenir Next" w:hAnsi="Avenir Next"/>
          <w:sz w:val="23"/>
          <w:szCs w:val="23"/>
        </w:rPr>
        <w:t>.</w:t>
      </w:r>
      <w:bookmarkStart w:id="0" w:name="_GoBack"/>
      <w:bookmarkEnd w:id="0"/>
      <w:r>
        <w:rPr>
          <w:rStyle w:val="NessunoA"/>
          <w:rFonts w:ascii="Avenir Next" w:hAnsi="Avenir Next"/>
          <w:sz w:val="23"/>
          <w:szCs w:val="23"/>
        </w:rPr>
        <w:t xml:space="preserve"> 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evento, animato da una quarantina di espositori provenienti da diverse regioni italiane, sar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arricchito anche da una serie di </w:t>
      </w:r>
      <w:r>
        <w:rPr>
          <w:rStyle w:val="NessunoA"/>
          <w:rFonts w:ascii="Avenir Next Demi Bold" w:hAnsi="Avenir Next Demi Bold"/>
          <w:sz w:val="23"/>
          <w:szCs w:val="23"/>
        </w:rPr>
        <w:t>seminari tematici</w:t>
      </w:r>
      <w:r>
        <w:rPr>
          <w:rStyle w:val="NessunoA"/>
          <w:rFonts w:ascii="Avenir Next" w:hAnsi="Avenir Next"/>
          <w:sz w:val="23"/>
          <w:szCs w:val="23"/>
        </w:rPr>
        <w:t xml:space="preserve"> e da </w:t>
      </w:r>
      <w:r>
        <w:rPr>
          <w:rStyle w:val="NessunoA"/>
          <w:rFonts w:ascii="Avenir Next Demi Bold" w:hAnsi="Avenir Next Demi Bold"/>
          <w:sz w:val="23"/>
          <w:szCs w:val="23"/>
        </w:rPr>
        <w:t>corsi brevi di tecnica giardiniera e di manutenzione d</w:t>
      </w:r>
      <w:r>
        <w:rPr>
          <w:rStyle w:val="NessunoA"/>
          <w:rFonts w:ascii="Avenir Next Demi Bold" w:hAnsi="Avenir Next Demi Bold"/>
          <w:sz w:val="23"/>
          <w:szCs w:val="23"/>
        </w:rPr>
        <w:t>el frutteto familiare</w:t>
      </w:r>
      <w:r>
        <w:rPr>
          <w:rStyle w:val="NessunoA"/>
          <w:rFonts w:ascii="Avenir Next" w:hAnsi="Avenir Next"/>
          <w:sz w:val="23"/>
          <w:szCs w:val="23"/>
        </w:rPr>
        <w:t xml:space="preserve">; lezioni teorico-pratiche gratuite, incentrate su un approccio informativo e introduttivo, per apprendere le nozioni base della potatura, conoscere le tecniche di taleaggio e riscoprire frutti ed essenze antiche ormai dimenticate. </w:t>
      </w:r>
    </w:p>
    <w:p w:rsidR="00583BB4" w:rsidRDefault="007B0233">
      <w:pPr>
        <w:spacing w:line="288" w:lineRule="auto"/>
        <w:jc w:val="both"/>
        <w:rPr>
          <w:rStyle w:val="NessunoA"/>
          <w:rFonts w:ascii="Avenir Next" w:eastAsia="Avenir Next" w:hAnsi="Avenir Next" w:cs="Avenir Next"/>
        </w:rPr>
      </w:pPr>
      <w:r>
        <w:rPr>
          <w:rStyle w:val="NessunoA"/>
          <w:rFonts w:ascii="Arial Unicode MS" w:hAnsi="Arial Unicode MS"/>
          <w:sz w:val="20"/>
          <w:szCs w:val="20"/>
        </w:rPr>
        <w:br/>
      </w:r>
      <w:proofErr w:type="spellStart"/>
      <w:r>
        <w:rPr>
          <w:rStyle w:val="NessunoA"/>
          <w:rFonts w:ascii="Avenir Next Demi Bold" w:hAnsi="Avenir Next Demi Bold"/>
          <w:i/>
          <w:iCs/>
        </w:rPr>
        <w:t>S</w:t>
      </w:r>
      <w:r>
        <w:rPr>
          <w:rStyle w:val="NessunoA"/>
          <w:rFonts w:ascii="Avenir Next Demi Bold" w:hAnsi="Avenir Next Demi Bold"/>
          <w:i/>
          <w:iCs/>
        </w:rPr>
        <w:t>eminat</w:t>
      </w:r>
      <w:proofErr w:type="spellEnd"/>
      <w:r>
        <w:rPr>
          <w:rStyle w:val="NessunoA"/>
          <w:rFonts w:ascii="Avenir Next Demi Bold" w:hAnsi="Avenir Next Demi Bold"/>
          <w:i/>
          <w:iCs/>
        </w:rPr>
        <w:t xml:space="preserve"> - </w:t>
      </w:r>
      <w:r>
        <w:rPr>
          <w:rStyle w:val="NessunoA"/>
          <w:rFonts w:ascii="Avenir Next Demi Bold" w:hAnsi="Avenir Next Demi Bold"/>
        </w:rPr>
        <w:t>www.seminat.it</w:t>
      </w:r>
      <w:r>
        <w:rPr>
          <w:rStyle w:val="NessunoA"/>
          <w:rFonts w:ascii="Arial Unicode MS" w:hAnsi="Arial Unicode MS"/>
        </w:rPr>
        <w:br/>
      </w:r>
      <w:r>
        <w:rPr>
          <w:rStyle w:val="NessunoA"/>
          <w:rFonts w:ascii="Avenir Next" w:hAnsi="Avenir Next"/>
          <w:sz w:val="23"/>
          <w:szCs w:val="23"/>
        </w:rPr>
        <w:t>Piacenza Expo 1-4 marzo 2018 -</w:t>
      </w:r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 xml:space="preserve">Ingresso intero: </w:t>
      </w:r>
      <w:r>
        <w:rPr>
          <w:rStyle w:val="NessunoA"/>
          <w:rFonts w:ascii="Avenir Next" w:hAnsi="Avenir Next"/>
          <w:sz w:val="23"/>
          <w:szCs w:val="23"/>
        </w:rPr>
        <w:t xml:space="preserve">€ </w:t>
      </w:r>
      <w:r>
        <w:rPr>
          <w:rStyle w:val="NessunoA"/>
          <w:rFonts w:ascii="Avenir Next" w:hAnsi="Avenir Next"/>
          <w:sz w:val="23"/>
          <w:szCs w:val="23"/>
        </w:rPr>
        <w:t xml:space="preserve">10,00 </w:t>
      </w:r>
      <w:r>
        <w:rPr>
          <w:rStyle w:val="NessunoA"/>
          <w:rFonts w:ascii="Arial Unicode MS" w:hAnsi="Arial Unicode MS"/>
          <w:sz w:val="23"/>
          <w:szCs w:val="23"/>
        </w:rPr>
        <w:br/>
      </w:r>
      <w:r>
        <w:rPr>
          <w:rStyle w:val="NessunoA"/>
          <w:rFonts w:ascii="Avenir Next" w:hAnsi="Avenir Next"/>
          <w:sz w:val="23"/>
          <w:szCs w:val="23"/>
        </w:rPr>
        <w:t>orari: gioved</w:t>
      </w:r>
      <w:r>
        <w:rPr>
          <w:rStyle w:val="NessunoA"/>
          <w:rFonts w:ascii="Avenir Next" w:hAnsi="Avenir Next"/>
          <w:sz w:val="23"/>
          <w:szCs w:val="23"/>
        </w:rPr>
        <w:t xml:space="preserve">ì </w:t>
      </w:r>
      <w:r>
        <w:rPr>
          <w:rStyle w:val="NessunoA"/>
          <w:rFonts w:ascii="Avenir Next" w:hAnsi="Avenir Next"/>
          <w:sz w:val="23"/>
          <w:szCs w:val="23"/>
        </w:rPr>
        <w:t>e venerd</w:t>
      </w:r>
      <w:r>
        <w:rPr>
          <w:rStyle w:val="NessunoA"/>
          <w:rFonts w:ascii="Avenir Next" w:hAnsi="Avenir Next"/>
          <w:sz w:val="23"/>
          <w:szCs w:val="23"/>
        </w:rPr>
        <w:t xml:space="preserve">ì </w:t>
      </w:r>
      <w:r>
        <w:rPr>
          <w:rStyle w:val="NessunoA"/>
          <w:rFonts w:ascii="Avenir Next" w:hAnsi="Avenir Next"/>
          <w:sz w:val="23"/>
          <w:szCs w:val="23"/>
        </w:rPr>
        <w:t>dalle 9 alle 18 - sabato e domenica dalle 9 alle 18,30</w:t>
      </w:r>
      <w:r>
        <w:rPr>
          <w:rStyle w:val="NessunoA"/>
          <w:rFonts w:ascii="Arial Unicode MS" w:hAnsi="Arial Unicode MS"/>
          <w:sz w:val="23"/>
          <w:szCs w:val="23"/>
        </w:rPr>
        <w:br/>
      </w:r>
      <w:r>
        <w:rPr>
          <w:rStyle w:val="NessunoA"/>
          <w:rFonts w:ascii="Avenir Next" w:hAnsi="Avenir Next"/>
        </w:rPr>
        <w:t>________________________________________________________________________________</w:t>
      </w:r>
      <w:r>
        <w:rPr>
          <w:rStyle w:val="NessunoA"/>
          <w:rFonts w:ascii="Avenir Next" w:eastAsia="Avenir Next" w:hAnsi="Avenir Next" w:cs="Avenir Next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208498</wp:posOffset>
            </wp:positionV>
            <wp:extent cx="886616" cy="7612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16" cy="761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3BB4" w:rsidRDefault="007B0233">
      <w:pPr>
        <w:jc w:val="both"/>
      </w:pPr>
      <w:r>
        <w:rPr>
          <w:rStyle w:val="NessunoA"/>
          <w:rFonts w:ascii="Arial Unicode MS" w:hAnsi="Arial Unicode MS"/>
        </w:rPr>
        <w:br/>
      </w:r>
      <w:r>
        <w:rPr>
          <w:rStyle w:val="NessunoA"/>
          <w:rFonts w:ascii="Arial Unicode MS" w:hAnsi="Arial Unicode MS"/>
          <w:sz w:val="32"/>
          <w:szCs w:val="32"/>
        </w:rPr>
        <w:br/>
      </w:r>
      <w:r>
        <w:rPr>
          <w:rStyle w:val="NessunoA"/>
          <w:rFonts w:ascii="Avenir Next Demi Bold" w:hAnsi="Avenir Next Demi Bold"/>
          <w:sz w:val="20"/>
          <w:szCs w:val="20"/>
        </w:rPr>
        <w:t xml:space="preserve">Piacenza Expo </w:t>
      </w:r>
      <w:r>
        <w:rPr>
          <w:rStyle w:val="NessunoA"/>
          <w:rFonts w:ascii="Avenir Next" w:hAnsi="Avenir Next"/>
          <w:sz w:val="20"/>
          <w:szCs w:val="20"/>
        </w:rPr>
        <w:t xml:space="preserve">- 29122 Piacenza - Via </w:t>
      </w:r>
      <w:proofErr w:type="spellStart"/>
      <w:r>
        <w:rPr>
          <w:rStyle w:val="NessunoA"/>
          <w:rFonts w:ascii="Avenir Next" w:hAnsi="Avenir Next"/>
          <w:sz w:val="20"/>
          <w:szCs w:val="20"/>
        </w:rPr>
        <w:t>Tirotti</w:t>
      </w:r>
      <w:proofErr w:type="spellEnd"/>
      <w:r>
        <w:rPr>
          <w:rStyle w:val="NessunoA"/>
          <w:rFonts w:ascii="Avenir Next" w:hAnsi="Avenir Next"/>
          <w:sz w:val="20"/>
          <w:szCs w:val="20"/>
        </w:rPr>
        <w:t>, 11 (</w:t>
      </w:r>
      <w:proofErr w:type="spellStart"/>
      <w:r>
        <w:rPr>
          <w:rStyle w:val="NessunoA"/>
          <w:rFonts w:ascii="Avenir Next" w:hAnsi="Avenir Next"/>
          <w:sz w:val="20"/>
          <w:szCs w:val="20"/>
        </w:rPr>
        <w:t>loc</w:t>
      </w:r>
      <w:proofErr w:type="spellEnd"/>
      <w:r>
        <w:rPr>
          <w:rStyle w:val="NessunoA"/>
          <w:rFonts w:ascii="Avenir Next" w:hAnsi="Avenir Next"/>
          <w:sz w:val="20"/>
          <w:szCs w:val="20"/>
        </w:rPr>
        <w:t xml:space="preserve">. Le Mose) </w:t>
      </w:r>
      <w:r>
        <w:rPr>
          <w:rStyle w:val="NessunoA"/>
          <w:rFonts w:ascii="Arial Unicode MS" w:hAnsi="Arial Unicode MS"/>
          <w:sz w:val="20"/>
          <w:szCs w:val="20"/>
        </w:rPr>
        <w:br/>
      </w:r>
      <w:r>
        <w:rPr>
          <w:rStyle w:val="NessunoA"/>
          <w:rFonts w:ascii="Avenir Next" w:hAnsi="Avenir Next"/>
          <w:sz w:val="20"/>
          <w:szCs w:val="20"/>
        </w:rPr>
        <w:t xml:space="preserve">tel. </w:t>
      </w:r>
      <w:r>
        <w:rPr>
          <w:rStyle w:val="NessunoA"/>
          <w:rFonts w:ascii="Avenir Next" w:hAnsi="Avenir Next"/>
          <w:sz w:val="22"/>
          <w:szCs w:val="22"/>
        </w:rPr>
        <w:t>0523.602711 - www.piacenzaexpo.it</w:t>
      </w:r>
    </w:p>
    <w:sectPr w:rsidR="00583BB4">
      <w:headerReference w:type="default" r:id="rId9"/>
      <w:footerReference w:type="default" r:id="rId10"/>
      <w:pgSz w:w="11900" w:h="16840"/>
      <w:pgMar w:top="71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33" w:rsidRDefault="007B0233">
      <w:r>
        <w:separator/>
      </w:r>
    </w:p>
  </w:endnote>
  <w:endnote w:type="continuationSeparator" w:id="0">
    <w:p w:rsidR="007B0233" w:rsidRDefault="007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Next">
    <w:altName w:val="Cambria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B4" w:rsidRDefault="00583BB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33" w:rsidRDefault="007B0233">
      <w:r>
        <w:separator/>
      </w:r>
    </w:p>
  </w:footnote>
  <w:footnote w:type="continuationSeparator" w:id="0">
    <w:p w:rsidR="007B0233" w:rsidRDefault="007B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B4" w:rsidRDefault="00583BB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B4"/>
    <w:rsid w:val="00583BB4"/>
    <w:rsid w:val="007B0233"/>
    <w:rsid w:val="00C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6B5F"/>
  <w15:docId w15:val="{C4A32743-8BAF-4ADD-A3B5-C973557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rFonts w:ascii="Avenir Next" w:eastAsia="Avenir Next" w:hAnsi="Avenir Next" w:cs="Avenir Next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emina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Bellocchi</dc:creator>
  <cp:lastModifiedBy>Bellocchi</cp:lastModifiedBy>
  <cp:revision>3</cp:revision>
  <dcterms:created xsi:type="dcterms:W3CDTF">2018-02-21T09:26:00Z</dcterms:created>
  <dcterms:modified xsi:type="dcterms:W3CDTF">2018-02-21T09:26:00Z</dcterms:modified>
</cp:coreProperties>
</file>